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C5DDB" w14:textId="77777777" w:rsidR="009462F1" w:rsidRPr="008B44F5" w:rsidRDefault="009462F1" w:rsidP="009462F1">
      <w:pPr>
        <w:spacing w:after="0"/>
        <w:rPr>
          <w:rFonts w:ascii="Times New Roman" w:hAnsi="Times New Roman" w:cs="Times New Roman"/>
          <w:color w:val="EE0000"/>
          <w:sz w:val="22"/>
          <w:szCs w:val="22"/>
        </w:rPr>
      </w:pPr>
      <w:r w:rsidRPr="008B44F5">
        <w:rPr>
          <w:rFonts w:ascii="Times New Roman" w:hAnsi="Times New Roman" w:cs="Times New Roman"/>
          <w:color w:val="EE0000"/>
          <w:sz w:val="22"/>
          <w:szCs w:val="22"/>
        </w:rPr>
        <w:t>[Organization Name]</w:t>
      </w:r>
    </w:p>
    <w:p w14:paraId="0A5988C8" w14:textId="77777777" w:rsidR="009462F1" w:rsidRPr="008B44F5" w:rsidRDefault="009462F1" w:rsidP="009462F1">
      <w:pPr>
        <w:spacing w:after="0"/>
        <w:rPr>
          <w:rFonts w:ascii="Times New Roman" w:hAnsi="Times New Roman" w:cs="Times New Roman"/>
          <w:color w:val="EE0000"/>
          <w:sz w:val="22"/>
          <w:szCs w:val="22"/>
        </w:rPr>
      </w:pPr>
      <w:r w:rsidRPr="008B44F5">
        <w:rPr>
          <w:rFonts w:ascii="Times New Roman" w:hAnsi="Times New Roman" w:cs="Times New Roman"/>
          <w:color w:val="EE0000"/>
          <w:sz w:val="22"/>
          <w:szCs w:val="22"/>
        </w:rPr>
        <w:t>[Street Address]</w:t>
      </w:r>
    </w:p>
    <w:p w14:paraId="27E11B8D" w14:textId="77777777" w:rsidR="009462F1" w:rsidRPr="008B44F5" w:rsidRDefault="009462F1" w:rsidP="009462F1">
      <w:pPr>
        <w:spacing w:after="0"/>
        <w:rPr>
          <w:rFonts w:ascii="Times New Roman" w:hAnsi="Times New Roman" w:cs="Times New Roman"/>
          <w:color w:val="EE0000"/>
          <w:sz w:val="22"/>
          <w:szCs w:val="22"/>
        </w:rPr>
      </w:pPr>
      <w:r w:rsidRPr="008B44F5">
        <w:rPr>
          <w:rFonts w:ascii="Times New Roman" w:hAnsi="Times New Roman" w:cs="Times New Roman"/>
          <w:color w:val="EE0000"/>
          <w:sz w:val="22"/>
          <w:szCs w:val="22"/>
        </w:rPr>
        <w:t>[City, State ZIP]</w:t>
      </w:r>
    </w:p>
    <w:p w14:paraId="01EAC139" w14:textId="77777777" w:rsidR="009462F1" w:rsidRPr="008B44F5" w:rsidRDefault="009462F1" w:rsidP="009462F1">
      <w:pPr>
        <w:spacing w:after="0"/>
        <w:rPr>
          <w:rFonts w:ascii="Times New Roman" w:hAnsi="Times New Roman" w:cs="Times New Roman"/>
          <w:color w:val="EE0000"/>
          <w:sz w:val="22"/>
          <w:szCs w:val="22"/>
        </w:rPr>
      </w:pPr>
      <w:r w:rsidRPr="008B44F5">
        <w:rPr>
          <w:rFonts w:ascii="Times New Roman" w:hAnsi="Times New Roman" w:cs="Times New Roman"/>
          <w:color w:val="EE0000"/>
          <w:sz w:val="22"/>
          <w:szCs w:val="22"/>
        </w:rPr>
        <w:t>[Email]</w:t>
      </w:r>
    </w:p>
    <w:p w14:paraId="260368BF" w14:textId="77777777" w:rsidR="009462F1" w:rsidRPr="008B44F5" w:rsidRDefault="009462F1" w:rsidP="009462F1">
      <w:pPr>
        <w:spacing w:after="0"/>
        <w:rPr>
          <w:rFonts w:ascii="Times New Roman" w:hAnsi="Times New Roman" w:cs="Times New Roman"/>
          <w:color w:val="EE0000"/>
          <w:sz w:val="22"/>
          <w:szCs w:val="22"/>
        </w:rPr>
      </w:pPr>
    </w:p>
    <w:p w14:paraId="6BD63457" w14:textId="77777777" w:rsidR="009462F1" w:rsidRPr="008B44F5" w:rsidRDefault="009462F1" w:rsidP="009462F1">
      <w:pPr>
        <w:spacing w:after="0"/>
        <w:rPr>
          <w:rFonts w:ascii="Times New Roman" w:hAnsi="Times New Roman" w:cs="Times New Roman"/>
          <w:color w:val="EE0000"/>
          <w:sz w:val="22"/>
          <w:szCs w:val="22"/>
        </w:rPr>
      </w:pPr>
      <w:r w:rsidRPr="008B44F5">
        <w:rPr>
          <w:rFonts w:ascii="Times New Roman" w:hAnsi="Times New Roman" w:cs="Times New Roman"/>
          <w:color w:val="EE0000"/>
          <w:sz w:val="22"/>
          <w:szCs w:val="22"/>
        </w:rPr>
        <w:t>[Date]</w:t>
      </w:r>
    </w:p>
    <w:p w14:paraId="13A2CCFE" w14:textId="77777777" w:rsidR="009462F1" w:rsidRPr="008B44F5" w:rsidRDefault="009462F1" w:rsidP="009462F1">
      <w:pPr>
        <w:spacing w:after="0"/>
        <w:rPr>
          <w:rFonts w:ascii="Times New Roman" w:hAnsi="Times New Roman" w:cs="Times New Roman"/>
          <w:sz w:val="22"/>
          <w:szCs w:val="22"/>
        </w:rPr>
      </w:pPr>
    </w:p>
    <w:p w14:paraId="679EE897" w14:textId="77777777" w:rsidR="009462F1" w:rsidRPr="008B44F5" w:rsidRDefault="009462F1" w:rsidP="009462F1">
      <w:pPr>
        <w:spacing w:after="0"/>
        <w:rPr>
          <w:rFonts w:ascii="Times New Roman" w:hAnsi="Times New Roman" w:cs="Times New Roman"/>
          <w:sz w:val="22"/>
          <w:szCs w:val="22"/>
        </w:rPr>
      </w:pPr>
      <w:r w:rsidRPr="008B44F5">
        <w:rPr>
          <w:rFonts w:ascii="Times New Roman" w:hAnsi="Times New Roman" w:cs="Times New Roman"/>
          <w:sz w:val="22"/>
          <w:szCs w:val="22"/>
        </w:rPr>
        <w:t>Russell T. Vought</w:t>
      </w:r>
    </w:p>
    <w:p w14:paraId="564DCB29" w14:textId="77777777" w:rsidR="009462F1" w:rsidRPr="008B44F5" w:rsidRDefault="009462F1" w:rsidP="009462F1">
      <w:pPr>
        <w:spacing w:after="0"/>
        <w:rPr>
          <w:rFonts w:ascii="Times New Roman" w:hAnsi="Times New Roman" w:cs="Times New Roman"/>
          <w:sz w:val="22"/>
          <w:szCs w:val="22"/>
        </w:rPr>
      </w:pPr>
      <w:r w:rsidRPr="008B44F5">
        <w:rPr>
          <w:rFonts w:ascii="Times New Roman" w:hAnsi="Times New Roman" w:cs="Times New Roman"/>
          <w:sz w:val="22"/>
          <w:szCs w:val="22"/>
        </w:rPr>
        <w:t>Director, Office of Management and Budget</w:t>
      </w:r>
    </w:p>
    <w:p w14:paraId="0177C9BA" w14:textId="77777777" w:rsidR="009462F1" w:rsidRPr="008B44F5" w:rsidRDefault="009462F1" w:rsidP="009462F1">
      <w:pPr>
        <w:spacing w:after="0"/>
        <w:rPr>
          <w:rFonts w:ascii="Times New Roman" w:hAnsi="Times New Roman" w:cs="Times New Roman"/>
          <w:sz w:val="22"/>
          <w:szCs w:val="22"/>
        </w:rPr>
      </w:pPr>
      <w:r w:rsidRPr="008B44F5">
        <w:rPr>
          <w:rFonts w:ascii="Times New Roman" w:hAnsi="Times New Roman" w:cs="Times New Roman"/>
          <w:sz w:val="22"/>
          <w:szCs w:val="22"/>
        </w:rPr>
        <w:t>725 17th Street, NW</w:t>
      </w:r>
    </w:p>
    <w:p w14:paraId="6B829246" w14:textId="77777777" w:rsidR="009462F1" w:rsidRPr="008B44F5" w:rsidRDefault="009462F1" w:rsidP="009462F1">
      <w:pPr>
        <w:spacing w:after="0"/>
        <w:rPr>
          <w:rFonts w:ascii="Times New Roman" w:hAnsi="Times New Roman" w:cs="Times New Roman"/>
          <w:sz w:val="22"/>
          <w:szCs w:val="22"/>
        </w:rPr>
      </w:pPr>
      <w:r w:rsidRPr="008B44F5">
        <w:rPr>
          <w:rFonts w:ascii="Times New Roman" w:hAnsi="Times New Roman" w:cs="Times New Roman"/>
          <w:sz w:val="22"/>
          <w:szCs w:val="22"/>
        </w:rPr>
        <w:t>Washington, DC 20503</w:t>
      </w:r>
    </w:p>
    <w:p w14:paraId="0B327FFE" w14:textId="77777777" w:rsidR="009462F1" w:rsidRPr="008B44F5" w:rsidRDefault="009462F1" w:rsidP="009462F1">
      <w:pPr>
        <w:spacing w:after="0"/>
        <w:rPr>
          <w:rFonts w:ascii="Times New Roman" w:hAnsi="Times New Roman" w:cs="Times New Roman"/>
          <w:sz w:val="22"/>
          <w:szCs w:val="22"/>
        </w:rPr>
      </w:pPr>
    </w:p>
    <w:p w14:paraId="2B64FC55" w14:textId="77777777" w:rsidR="009462F1" w:rsidRPr="008B44F5" w:rsidRDefault="009462F1" w:rsidP="009462F1">
      <w:pPr>
        <w:rPr>
          <w:rFonts w:ascii="Times New Roman" w:hAnsi="Times New Roman" w:cs="Times New Roman"/>
          <w:sz w:val="22"/>
          <w:szCs w:val="22"/>
        </w:rPr>
      </w:pPr>
      <w:r w:rsidRPr="008B44F5">
        <w:rPr>
          <w:rFonts w:ascii="Times New Roman" w:hAnsi="Times New Roman" w:cs="Times New Roman"/>
          <w:b/>
          <w:bCs/>
          <w:sz w:val="22"/>
          <w:szCs w:val="22"/>
        </w:rPr>
        <w:t>Re: Comments on Proposed Rule — Regulation for Federal Financial Assistance; 2 CFR Part 200 (Docket OMB-2026-0034)</w:t>
      </w:r>
    </w:p>
    <w:p w14:paraId="5C31002D" w14:textId="77777777" w:rsidR="009462F1" w:rsidRPr="008B44F5" w:rsidRDefault="009462F1" w:rsidP="009462F1">
      <w:pPr>
        <w:rPr>
          <w:rFonts w:ascii="Times New Roman" w:hAnsi="Times New Roman" w:cs="Times New Roman"/>
          <w:sz w:val="22"/>
          <w:szCs w:val="22"/>
        </w:rPr>
      </w:pPr>
      <w:r w:rsidRPr="008B44F5">
        <w:rPr>
          <w:rFonts w:ascii="Times New Roman" w:hAnsi="Times New Roman" w:cs="Times New Roman"/>
          <w:sz w:val="22"/>
          <w:szCs w:val="22"/>
        </w:rPr>
        <w:t>Dear Director Vought:</w:t>
      </w:r>
    </w:p>
    <w:p w14:paraId="5EE09A22" w14:textId="77777777" w:rsidR="009462F1" w:rsidRPr="008B44F5" w:rsidRDefault="009462F1" w:rsidP="009462F1">
      <w:pPr>
        <w:rPr>
          <w:rFonts w:ascii="Times New Roman" w:hAnsi="Times New Roman" w:cs="Times New Roman"/>
          <w:sz w:val="22"/>
          <w:szCs w:val="22"/>
        </w:rPr>
      </w:pPr>
      <w:r w:rsidRPr="008B44F5">
        <w:rPr>
          <w:rFonts w:ascii="Times New Roman" w:hAnsi="Times New Roman" w:cs="Times New Roman"/>
          <w:color w:val="EE0000"/>
          <w:sz w:val="22"/>
          <w:szCs w:val="22"/>
        </w:rPr>
        <w:t xml:space="preserve">[Organization Name] </w:t>
      </w:r>
      <w:r w:rsidRPr="008B44F5">
        <w:rPr>
          <w:rFonts w:ascii="Times New Roman" w:hAnsi="Times New Roman" w:cs="Times New Roman"/>
          <w:sz w:val="22"/>
          <w:szCs w:val="22"/>
        </w:rPr>
        <w:t>respectfully submits the following comments regarding the Office of Management and Budget's (OMB) proposed revisions to 2 CFR Part 200, the Uniform Guidance, published in the Federal Register on May 29, 2026 (Docket OMB-2026-0034). We offer these comments to help ensure the final rule is both accountable and workable for the recipients responsible for delivering federally funded services.</w:t>
      </w:r>
    </w:p>
    <w:p w14:paraId="6985F7BF" w14:textId="77777777" w:rsidR="009462F1" w:rsidRPr="008B44F5" w:rsidRDefault="009462F1" w:rsidP="009462F1">
      <w:pPr>
        <w:rPr>
          <w:rFonts w:ascii="Times New Roman" w:hAnsi="Times New Roman" w:cs="Times New Roman"/>
          <w:color w:val="EE0000"/>
          <w:sz w:val="22"/>
          <w:szCs w:val="22"/>
        </w:rPr>
      </w:pPr>
      <w:r w:rsidRPr="008B44F5">
        <w:rPr>
          <w:rFonts w:ascii="Times New Roman" w:hAnsi="Times New Roman" w:cs="Times New Roman"/>
          <w:color w:val="EE0000"/>
          <w:sz w:val="22"/>
          <w:szCs w:val="22"/>
        </w:rPr>
        <w:t>[Describe your organization and its relationship to federal funding — for example, the approximate amount of federal funding you receive or administer each year, the programs it supports, and the residents or community you serve.]</w:t>
      </w:r>
    </w:p>
    <w:p w14:paraId="537E3BB8" w14:textId="77777777" w:rsidR="009462F1" w:rsidRPr="008B44F5" w:rsidRDefault="009462F1" w:rsidP="009462F1">
      <w:pPr>
        <w:keepNext/>
        <w:spacing w:before="240" w:after="80"/>
        <w:rPr>
          <w:rFonts w:ascii="Times New Roman" w:hAnsi="Times New Roman" w:cs="Times New Roman"/>
          <w:sz w:val="22"/>
          <w:szCs w:val="22"/>
        </w:rPr>
      </w:pPr>
      <w:r w:rsidRPr="008B44F5">
        <w:rPr>
          <w:rFonts w:ascii="Times New Roman" w:hAnsi="Times New Roman" w:cs="Times New Roman"/>
          <w:b/>
          <w:bCs/>
          <w:sz w:val="22"/>
          <w:szCs w:val="22"/>
          <w:u w:val="single"/>
        </w:rPr>
        <w:t>Expanded Federal Termination Authority [200.340], [200.341], [200.342], [200.343]</w:t>
      </w:r>
    </w:p>
    <w:p w14:paraId="2CC5D9D0" w14:textId="65714856" w:rsidR="009462F1" w:rsidRPr="008B44F5" w:rsidRDefault="009462F1" w:rsidP="009462F1">
      <w:pPr>
        <w:rPr>
          <w:rFonts w:ascii="Times New Roman" w:hAnsi="Times New Roman" w:cs="Times New Roman"/>
          <w:sz w:val="22"/>
          <w:szCs w:val="22"/>
        </w:rPr>
      </w:pPr>
      <w:r w:rsidRPr="008B44F5">
        <w:rPr>
          <w:rFonts w:ascii="Times New Roman" w:hAnsi="Times New Roman" w:cs="Times New Roman"/>
          <w:sz w:val="22"/>
          <w:szCs w:val="22"/>
        </w:rPr>
        <w:t>These provisions create unnecessary and severe financial instability and uncertainty. Proposed §200.340(a)(2) would permit termination whenever an agency determines that termination “is in the interest of the Federal agency,” a</w:t>
      </w:r>
      <w:r w:rsidR="00025AA6">
        <w:rPr>
          <w:rFonts w:ascii="Times New Roman" w:hAnsi="Times New Roman" w:cs="Times New Roman"/>
          <w:sz w:val="22"/>
          <w:szCs w:val="22"/>
        </w:rPr>
        <w:t xml:space="preserve"> subjective</w:t>
      </w:r>
      <w:r w:rsidRPr="008B44F5">
        <w:rPr>
          <w:rFonts w:ascii="Times New Roman" w:hAnsi="Times New Roman" w:cs="Times New Roman"/>
          <w:sz w:val="22"/>
          <w:szCs w:val="22"/>
        </w:rPr>
        <w:t xml:space="preserve"> standard that shifts with each change in federal priorities and can be invoked at any point in the award. The notice and appeal procedures in §§200.341 and 200.342 do not guarantee a meaningful cure period or an orderly wind-down before funds cease, and §200.343(b)(2) leaves reimbursement of costs incurred after termination “to the reasonable discretion of the Federal agency.”</w:t>
      </w:r>
    </w:p>
    <w:p w14:paraId="3D41BD7B" w14:textId="77777777" w:rsidR="009462F1" w:rsidRPr="008B44F5" w:rsidRDefault="009462F1" w:rsidP="009462F1">
      <w:pPr>
        <w:rPr>
          <w:rFonts w:ascii="Times New Roman" w:hAnsi="Times New Roman" w:cs="Times New Roman"/>
          <w:color w:val="EE0000"/>
          <w:sz w:val="22"/>
          <w:szCs w:val="22"/>
        </w:rPr>
      </w:pPr>
      <w:r w:rsidRPr="008B44F5">
        <w:rPr>
          <w:rFonts w:ascii="Times New Roman" w:hAnsi="Times New Roman" w:cs="Times New Roman"/>
          <w:color w:val="EE0000"/>
          <w:sz w:val="22"/>
          <w:szCs w:val="22"/>
        </w:rPr>
        <w:t xml:space="preserve">[Insert your organization's specific concern </w:t>
      </w:r>
      <w:proofErr w:type="spellStart"/>
      <w:r w:rsidRPr="008B44F5">
        <w:rPr>
          <w:rFonts w:ascii="Times New Roman" w:hAnsi="Times New Roman" w:cs="Times New Roman"/>
          <w:color w:val="EE0000"/>
          <w:sz w:val="22"/>
          <w:szCs w:val="22"/>
        </w:rPr>
        <w:t>or</w:t>
      </w:r>
      <w:proofErr w:type="spellEnd"/>
      <w:r w:rsidRPr="008B44F5">
        <w:rPr>
          <w:rFonts w:ascii="Times New Roman" w:hAnsi="Times New Roman" w:cs="Times New Roman"/>
          <w:color w:val="EE0000"/>
          <w:sz w:val="22"/>
          <w:szCs w:val="22"/>
        </w:rPr>
        <w:t xml:space="preserve"> example — for example, a program or service that depends on multi-year federal funding and the people who would be affected by a mid-year termination.]</w:t>
      </w:r>
    </w:p>
    <w:p w14:paraId="1E0EE503" w14:textId="77777777" w:rsidR="009462F1" w:rsidRPr="008B44F5" w:rsidRDefault="009462F1" w:rsidP="009462F1">
      <w:pPr>
        <w:rPr>
          <w:rFonts w:ascii="Times New Roman" w:hAnsi="Times New Roman" w:cs="Times New Roman"/>
          <w:sz w:val="22"/>
          <w:szCs w:val="22"/>
        </w:rPr>
      </w:pPr>
      <w:r w:rsidRPr="008B44F5">
        <w:rPr>
          <w:rFonts w:ascii="Times New Roman" w:hAnsi="Times New Roman" w:cs="Times New Roman"/>
          <w:sz w:val="22"/>
          <w:szCs w:val="22"/>
        </w:rPr>
        <w:t>We urge OMB to:</w:t>
      </w:r>
    </w:p>
    <w:p w14:paraId="3C7468F3"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t>Place a limit on the broad expansion of discretionary authority, consistent with existing basis in law and previous Uniform Guidance principles</w:t>
      </w:r>
    </w:p>
    <w:p w14:paraId="58EB0958"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t>Establish clear, defined, and published criteria, with a notice-and-cure process before any termination</w:t>
      </w:r>
    </w:p>
    <w:p w14:paraId="4BD2515B"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lastRenderedPageBreak/>
        <w:t>Establish and ensure proper “wind-down” periods to allow recipients facing termination to responsibly transition affected programs and protect service recipients</w:t>
      </w:r>
    </w:p>
    <w:p w14:paraId="5E87E879"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t>Clearly define the operative terms of §200.340(a)(2), including “Federal agency priorities” and “the national interest”</w:t>
      </w:r>
    </w:p>
    <w:p w14:paraId="1EEE50B0"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t>Change the procedures outlined in §§200.341 and 200.342 to include a defined notice-and-cure opportunity and transition period</w:t>
      </w:r>
    </w:p>
    <w:p w14:paraId="379A248A" w14:textId="77777777" w:rsidR="009462F1" w:rsidRPr="008B44F5" w:rsidRDefault="009462F1" w:rsidP="009462F1">
      <w:pPr>
        <w:keepNext/>
        <w:spacing w:before="240" w:after="80"/>
        <w:rPr>
          <w:rFonts w:ascii="Times New Roman" w:hAnsi="Times New Roman" w:cs="Times New Roman"/>
          <w:sz w:val="22"/>
          <w:szCs w:val="22"/>
        </w:rPr>
      </w:pPr>
      <w:r w:rsidRPr="008B44F5">
        <w:rPr>
          <w:rFonts w:ascii="Times New Roman" w:hAnsi="Times New Roman" w:cs="Times New Roman"/>
          <w:b/>
          <w:bCs/>
          <w:sz w:val="22"/>
          <w:szCs w:val="22"/>
          <w:u w:val="single"/>
        </w:rPr>
        <w:t>Pre-Award Review and Risk Evaluation Process and Requirements [200.205], [200.206]</w:t>
      </w:r>
    </w:p>
    <w:p w14:paraId="2F78893E" w14:textId="77777777" w:rsidR="009462F1" w:rsidRPr="008B44F5" w:rsidRDefault="009462F1" w:rsidP="009462F1">
      <w:pPr>
        <w:rPr>
          <w:rFonts w:ascii="Times New Roman" w:hAnsi="Times New Roman" w:cs="Times New Roman"/>
          <w:sz w:val="22"/>
          <w:szCs w:val="22"/>
        </w:rPr>
      </w:pPr>
      <w:r w:rsidRPr="008B44F5">
        <w:rPr>
          <w:rFonts w:ascii="Times New Roman" w:hAnsi="Times New Roman" w:cs="Times New Roman"/>
          <w:sz w:val="22"/>
          <w:szCs w:val="22"/>
        </w:rPr>
        <w:t>We are greatly concerned that these requirements will increase administrative burden, extend project timelines, and create ambiguity in the application process. Proposed §200.205(b)(1) directs that discretionary awards must, where applicable, “demonstrably advance the President's policy priorities,” introducing political factors unrelated to program performance into what should be the objective, competitive distribution of federal funds. Layering additional review on an already rigorous merit process would add delay and uncertainty without improving the identification of strong proposals.</w:t>
      </w:r>
    </w:p>
    <w:p w14:paraId="3E35D176" w14:textId="77777777" w:rsidR="009462F1" w:rsidRPr="008B44F5" w:rsidRDefault="009462F1" w:rsidP="009462F1">
      <w:pPr>
        <w:rPr>
          <w:rFonts w:ascii="Times New Roman" w:hAnsi="Times New Roman" w:cs="Times New Roman"/>
          <w:color w:val="EE0000"/>
          <w:sz w:val="22"/>
          <w:szCs w:val="22"/>
        </w:rPr>
      </w:pPr>
      <w:r w:rsidRPr="008B44F5">
        <w:rPr>
          <w:rFonts w:ascii="Times New Roman" w:hAnsi="Times New Roman" w:cs="Times New Roman"/>
          <w:color w:val="EE0000"/>
          <w:sz w:val="22"/>
          <w:szCs w:val="22"/>
        </w:rPr>
        <w:t xml:space="preserve">[Insert your organization's specific concern </w:t>
      </w:r>
      <w:proofErr w:type="spellStart"/>
      <w:r w:rsidRPr="008B44F5">
        <w:rPr>
          <w:rFonts w:ascii="Times New Roman" w:hAnsi="Times New Roman" w:cs="Times New Roman"/>
          <w:color w:val="EE0000"/>
          <w:sz w:val="22"/>
          <w:szCs w:val="22"/>
        </w:rPr>
        <w:t>or</w:t>
      </w:r>
      <w:proofErr w:type="spellEnd"/>
      <w:r w:rsidRPr="008B44F5">
        <w:rPr>
          <w:rFonts w:ascii="Times New Roman" w:hAnsi="Times New Roman" w:cs="Times New Roman"/>
          <w:color w:val="EE0000"/>
          <w:sz w:val="22"/>
          <w:szCs w:val="22"/>
        </w:rPr>
        <w:t xml:space="preserve"> example — for example, a competitive federal award you have received or pursued and the resources you invest in preparing applications.]</w:t>
      </w:r>
    </w:p>
    <w:p w14:paraId="31B16FB7" w14:textId="77777777" w:rsidR="009462F1" w:rsidRPr="008B44F5" w:rsidRDefault="009462F1" w:rsidP="009462F1">
      <w:pPr>
        <w:rPr>
          <w:rFonts w:ascii="Times New Roman" w:hAnsi="Times New Roman" w:cs="Times New Roman"/>
          <w:sz w:val="22"/>
          <w:szCs w:val="22"/>
        </w:rPr>
      </w:pPr>
      <w:r w:rsidRPr="008B44F5">
        <w:rPr>
          <w:rFonts w:ascii="Times New Roman" w:hAnsi="Times New Roman" w:cs="Times New Roman"/>
          <w:sz w:val="22"/>
          <w:szCs w:val="22"/>
        </w:rPr>
        <w:t>We urge OMB to:</w:t>
      </w:r>
    </w:p>
    <w:p w14:paraId="7F177CC5"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t>Clearly define objective and publicly available risk criteria, to allow applicants to anticipate and prepare for pre-award review</w:t>
      </w:r>
    </w:p>
    <w:p w14:paraId="431A81BC"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t>Plan and establish strict timelines for pre-award reviews to prevent delays in award administration and execution</w:t>
      </w:r>
    </w:p>
    <w:p w14:paraId="6AEFDFFD"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t>Incentivize applicants with strong audit histories and compliance track records, not applicants that simply conform</w:t>
      </w:r>
    </w:p>
    <w:p w14:paraId="0F70CCD2"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t>Ensure pre-award processes do not duplicate existing accountability mechanisms</w:t>
      </w:r>
    </w:p>
    <w:p w14:paraId="756E5AF2" w14:textId="77777777" w:rsidR="009462F1" w:rsidRPr="008B44F5" w:rsidRDefault="009462F1" w:rsidP="009462F1">
      <w:pPr>
        <w:keepNext/>
        <w:spacing w:before="240" w:after="80"/>
        <w:rPr>
          <w:rFonts w:ascii="Times New Roman" w:hAnsi="Times New Roman" w:cs="Times New Roman"/>
          <w:sz w:val="22"/>
          <w:szCs w:val="22"/>
        </w:rPr>
      </w:pPr>
      <w:r w:rsidRPr="008B44F5">
        <w:rPr>
          <w:rFonts w:ascii="Times New Roman" w:hAnsi="Times New Roman" w:cs="Times New Roman"/>
          <w:b/>
          <w:bCs/>
          <w:sz w:val="22"/>
          <w:szCs w:val="22"/>
          <w:u w:val="single"/>
        </w:rPr>
        <w:t>Specific Conditions and Remedies for Noncompliance [200.208], [200.339]</w:t>
      </w:r>
    </w:p>
    <w:p w14:paraId="25A3DAC5" w14:textId="77777777" w:rsidR="009462F1" w:rsidRPr="008B44F5" w:rsidRDefault="009462F1" w:rsidP="009462F1">
      <w:pPr>
        <w:rPr>
          <w:rFonts w:ascii="Times New Roman" w:hAnsi="Times New Roman" w:cs="Times New Roman"/>
          <w:sz w:val="22"/>
          <w:szCs w:val="22"/>
        </w:rPr>
      </w:pPr>
      <w:r w:rsidRPr="008B44F5">
        <w:rPr>
          <w:rFonts w:ascii="Times New Roman" w:hAnsi="Times New Roman" w:cs="Times New Roman"/>
          <w:sz w:val="22"/>
          <w:szCs w:val="22"/>
        </w:rPr>
        <w:t>The proposed rules greatly increase federal agencies' discretion to modify award conditions during the performance period — including authority to impose specific conditions, withhold payment, suspend, or terminate awards in whole or in part. Requiring recipients to comply with terms that change mid-performance creates uncertainty for awardees and increases compliance obligations, administrative burden, and project-administration complexity.</w:t>
      </w:r>
    </w:p>
    <w:p w14:paraId="1A0C7DED" w14:textId="77777777" w:rsidR="009462F1" w:rsidRPr="008B44F5" w:rsidRDefault="009462F1" w:rsidP="009462F1">
      <w:pPr>
        <w:rPr>
          <w:rFonts w:ascii="Times New Roman" w:hAnsi="Times New Roman" w:cs="Times New Roman"/>
          <w:color w:val="EE0000"/>
          <w:sz w:val="22"/>
          <w:szCs w:val="22"/>
        </w:rPr>
      </w:pPr>
      <w:r w:rsidRPr="008B44F5">
        <w:rPr>
          <w:rFonts w:ascii="Times New Roman" w:hAnsi="Times New Roman" w:cs="Times New Roman"/>
          <w:color w:val="EE0000"/>
          <w:sz w:val="22"/>
          <w:szCs w:val="22"/>
        </w:rPr>
        <w:t xml:space="preserve">[Insert your organization's specific concern </w:t>
      </w:r>
      <w:proofErr w:type="spellStart"/>
      <w:r w:rsidRPr="008B44F5">
        <w:rPr>
          <w:rFonts w:ascii="Times New Roman" w:hAnsi="Times New Roman" w:cs="Times New Roman"/>
          <w:color w:val="EE0000"/>
          <w:sz w:val="22"/>
          <w:szCs w:val="22"/>
        </w:rPr>
        <w:t>or</w:t>
      </w:r>
      <w:proofErr w:type="spellEnd"/>
      <w:r w:rsidRPr="008B44F5">
        <w:rPr>
          <w:rFonts w:ascii="Times New Roman" w:hAnsi="Times New Roman" w:cs="Times New Roman"/>
          <w:color w:val="EE0000"/>
          <w:sz w:val="22"/>
          <w:szCs w:val="22"/>
        </w:rPr>
        <w:t xml:space="preserve"> example — for example, a short-duration or pilot award where mid-performance changes would leave no meaningful opportunity to renegotiate, retrain, or cure before the project ends.]</w:t>
      </w:r>
    </w:p>
    <w:p w14:paraId="6C47B613" w14:textId="77777777" w:rsidR="009462F1" w:rsidRPr="008B44F5" w:rsidRDefault="009462F1" w:rsidP="009462F1">
      <w:pPr>
        <w:rPr>
          <w:rFonts w:ascii="Times New Roman" w:hAnsi="Times New Roman" w:cs="Times New Roman"/>
          <w:sz w:val="22"/>
          <w:szCs w:val="22"/>
        </w:rPr>
      </w:pPr>
      <w:r w:rsidRPr="008B44F5">
        <w:rPr>
          <w:rFonts w:ascii="Times New Roman" w:hAnsi="Times New Roman" w:cs="Times New Roman"/>
          <w:sz w:val="22"/>
          <w:szCs w:val="22"/>
        </w:rPr>
        <w:t>We urge OMB to:</w:t>
      </w:r>
    </w:p>
    <w:p w14:paraId="1620F3F6"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t>Establish clear, strict timelines to minimize risk for recipients when terms are modified</w:t>
      </w:r>
    </w:p>
    <w:p w14:paraId="093BDDFE"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t>Outline and define progress indicators within award terms, to allow recipients to stay informed and remain compliant with federal guidelines</w:t>
      </w:r>
    </w:p>
    <w:p w14:paraId="58C00089"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lastRenderedPageBreak/>
        <w:t>Limit termination authority within existing bases in law and the current Uniform Guidance</w:t>
      </w:r>
    </w:p>
    <w:p w14:paraId="58E16880" w14:textId="77777777" w:rsidR="009462F1" w:rsidRPr="008B44F5" w:rsidRDefault="009462F1" w:rsidP="009462F1">
      <w:pPr>
        <w:keepNext/>
        <w:spacing w:before="240" w:after="80"/>
        <w:rPr>
          <w:rFonts w:ascii="Times New Roman" w:hAnsi="Times New Roman" w:cs="Times New Roman"/>
          <w:sz w:val="22"/>
          <w:szCs w:val="22"/>
        </w:rPr>
      </w:pPr>
      <w:r w:rsidRPr="008B44F5">
        <w:rPr>
          <w:rFonts w:ascii="Times New Roman" w:hAnsi="Times New Roman" w:cs="Times New Roman"/>
          <w:b/>
          <w:bCs/>
          <w:sz w:val="22"/>
          <w:szCs w:val="22"/>
          <w:u w:val="single"/>
        </w:rPr>
        <w:t>New Requirements for Pass-Through Entities [200.303], [200.305], [200.329], [200.332]</w:t>
      </w:r>
    </w:p>
    <w:p w14:paraId="5A72E372" w14:textId="5169451E" w:rsidR="009462F1" w:rsidRPr="008B44F5" w:rsidRDefault="009462F1" w:rsidP="009462F1">
      <w:pPr>
        <w:rPr>
          <w:rFonts w:ascii="Times New Roman" w:hAnsi="Times New Roman" w:cs="Times New Roman"/>
          <w:sz w:val="22"/>
          <w:szCs w:val="22"/>
        </w:rPr>
      </w:pPr>
      <w:r w:rsidRPr="008B44F5">
        <w:rPr>
          <w:rFonts w:ascii="Times New Roman" w:hAnsi="Times New Roman" w:cs="Times New Roman"/>
          <w:sz w:val="22"/>
          <w:szCs w:val="22"/>
        </w:rPr>
        <w:t xml:space="preserve">Several proposed changes add administrative layers to routine subaward management — for example, §200.303 would require pass-through entities and their subrecipients to operate E-Verify for all employees and contractors under a federal award, and §200.305 would require separate written justification for every subrecipient payment request. Collectively these impose recurring compliance work on every subaward without a corresponding improvement in accountability. The requirement that pass-through entities ensure subrecipients do not “significantly damage the reputation” of the entity, the awarding agency, or the federal government is vague and unworkable: a federal determination of reputational harm could terminate the subaward or the entire federal award regardless of the recipient's own compliance </w:t>
      </w:r>
      <w:r w:rsidR="00745F69" w:rsidRPr="008B44F5">
        <w:rPr>
          <w:rFonts w:ascii="Times New Roman" w:hAnsi="Times New Roman" w:cs="Times New Roman"/>
          <w:sz w:val="22"/>
          <w:szCs w:val="22"/>
        </w:rPr>
        <w:t>record and</w:t>
      </w:r>
      <w:r w:rsidRPr="008B44F5">
        <w:rPr>
          <w:rFonts w:ascii="Times New Roman" w:hAnsi="Times New Roman" w:cs="Times New Roman"/>
          <w:sz w:val="22"/>
          <w:szCs w:val="22"/>
        </w:rPr>
        <w:t xml:space="preserve"> would require constant surveillance of every subrecipient action as a condition of federal funding.</w:t>
      </w:r>
    </w:p>
    <w:p w14:paraId="048C6A4E" w14:textId="77777777" w:rsidR="009462F1" w:rsidRPr="008B44F5" w:rsidRDefault="009462F1" w:rsidP="009462F1">
      <w:pPr>
        <w:rPr>
          <w:rFonts w:ascii="Times New Roman" w:hAnsi="Times New Roman" w:cs="Times New Roman"/>
          <w:color w:val="EE0000"/>
          <w:sz w:val="22"/>
          <w:szCs w:val="22"/>
        </w:rPr>
      </w:pPr>
      <w:r w:rsidRPr="008B44F5">
        <w:rPr>
          <w:rFonts w:ascii="Times New Roman" w:hAnsi="Times New Roman" w:cs="Times New Roman"/>
          <w:color w:val="EE0000"/>
          <w:sz w:val="22"/>
          <w:szCs w:val="22"/>
        </w:rPr>
        <w:t xml:space="preserve">[Insert your organization's specific concern </w:t>
      </w:r>
      <w:proofErr w:type="spellStart"/>
      <w:r w:rsidRPr="008B44F5">
        <w:rPr>
          <w:rFonts w:ascii="Times New Roman" w:hAnsi="Times New Roman" w:cs="Times New Roman"/>
          <w:color w:val="EE0000"/>
          <w:sz w:val="22"/>
          <w:szCs w:val="22"/>
        </w:rPr>
        <w:t>or</w:t>
      </w:r>
      <w:proofErr w:type="spellEnd"/>
      <w:r w:rsidRPr="008B44F5">
        <w:rPr>
          <w:rFonts w:ascii="Times New Roman" w:hAnsi="Times New Roman" w:cs="Times New Roman"/>
          <w:color w:val="EE0000"/>
          <w:sz w:val="22"/>
          <w:szCs w:val="22"/>
        </w:rPr>
        <w:t xml:space="preserve"> example — for example, the subrecipients or subgrantees you distribute funds to and the additional monitoring these requirements would demand.]</w:t>
      </w:r>
    </w:p>
    <w:p w14:paraId="19D6D64E" w14:textId="77777777" w:rsidR="009462F1" w:rsidRPr="008B44F5" w:rsidRDefault="009462F1" w:rsidP="009462F1">
      <w:pPr>
        <w:rPr>
          <w:rFonts w:ascii="Times New Roman" w:hAnsi="Times New Roman" w:cs="Times New Roman"/>
          <w:sz w:val="22"/>
          <w:szCs w:val="22"/>
        </w:rPr>
      </w:pPr>
      <w:r w:rsidRPr="008B44F5">
        <w:rPr>
          <w:rFonts w:ascii="Times New Roman" w:hAnsi="Times New Roman" w:cs="Times New Roman"/>
          <w:sz w:val="22"/>
          <w:szCs w:val="22"/>
        </w:rPr>
        <w:t>We urge OMB to:</w:t>
      </w:r>
    </w:p>
    <w:p w14:paraId="61E82901"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t>Provide implementation guidance, technical assistance, and funding before new pass-through requirements take effect</w:t>
      </w:r>
    </w:p>
    <w:p w14:paraId="2279EDD2"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t>Allow an adequate transition time of at least 12 months from the effective date to update subaward agreements, monitoring procedures, and reporting systems</w:t>
      </w:r>
    </w:p>
    <w:p w14:paraId="3AA55EB1"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t>Clarify that pass-through entity liability does not extend to subrecipient activities beyond the scope of the federal award</w:t>
      </w:r>
    </w:p>
    <w:p w14:paraId="752E7820"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t>Clearly define, or remove, “significantly damage the reputation” with objective, measurable criteria, limiting any consequences to the specific subaward at issue rather than the entire federal award</w:t>
      </w:r>
    </w:p>
    <w:p w14:paraId="12C35CF0" w14:textId="77777777" w:rsidR="009462F1" w:rsidRPr="008B44F5" w:rsidRDefault="009462F1" w:rsidP="009462F1">
      <w:pPr>
        <w:keepNext/>
        <w:spacing w:before="240" w:after="80"/>
        <w:rPr>
          <w:rFonts w:ascii="Times New Roman" w:hAnsi="Times New Roman" w:cs="Times New Roman"/>
          <w:sz w:val="22"/>
          <w:szCs w:val="22"/>
        </w:rPr>
      </w:pPr>
      <w:r w:rsidRPr="008B44F5">
        <w:rPr>
          <w:rFonts w:ascii="Times New Roman" w:hAnsi="Times New Roman" w:cs="Times New Roman"/>
          <w:b/>
          <w:bCs/>
          <w:sz w:val="22"/>
          <w:szCs w:val="22"/>
          <w:u w:val="single"/>
        </w:rPr>
        <w:t>Policy Conditions on Federal Awards and Cost Disallowance [200.218], [200.300], [200.403], [200.450]</w:t>
      </w:r>
    </w:p>
    <w:p w14:paraId="6BD119A8" w14:textId="77777777" w:rsidR="009462F1" w:rsidRPr="008B44F5" w:rsidRDefault="009462F1" w:rsidP="009462F1">
      <w:pPr>
        <w:rPr>
          <w:rFonts w:ascii="Times New Roman" w:hAnsi="Times New Roman" w:cs="Times New Roman"/>
          <w:sz w:val="22"/>
          <w:szCs w:val="22"/>
        </w:rPr>
      </w:pPr>
      <w:r w:rsidRPr="008B44F5">
        <w:rPr>
          <w:rFonts w:ascii="Times New Roman" w:hAnsi="Times New Roman" w:cs="Times New Roman"/>
          <w:sz w:val="22"/>
          <w:szCs w:val="22"/>
        </w:rPr>
        <w:t xml:space="preserve">The proposed rules establish sweeping government-wide prohibitions on the use of federal funds without defining the terms that determine compliance, leaving recipients unable to discern in advance whether an activity complies. Section 200.218's prohibition on “award activities based on the assumed risk of disparate-impact liability” is undefined and could reach ordinary data collection, program evaluation, and compliance activities required under other law. Proposed §200.300(b) bars using awards to “fund, promote, encourage, subsidize, or facilitate” listed categories without defining those terms or the “policies, principles, or practices” within its scope, and §200.450 makes unallowable any federally funded “issue advocacy or public messaging” “unrelated to” the award's objectives, giving no reliable standard to distinguish prohibited messaging from routine program communication. Because §200.403 incorporates §§200.300 through 200.309 by reference and the new prohibitions would become terms of awards already underway, a later finding of noncompliance </w:t>
      </w:r>
      <w:r w:rsidRPr="008B44F5">
        <w:rPr>
          <w:rFonts w:ascii="Times New Roman" w:hAnsi="Times New Roman" w:cs="Times New Roman"/>
          <w:sz w:val="22"/>
          <w:szCs w:val="22"/>
        </w:rPr>
        <w:lastRenderedPageBreak/>
        <w:t>could disallow expenditures that were permissible when made — creating retroactive financial liability with no clear ceiling.</w:t>
      </w:r>
    </w:p>
    <w:p w14:paraId="4FD24442" w14:textId="77777777" w:rsidR="009462F1" w:rsidRPr="008B44F5" w:rsidRDefault="009462F1" w:rsidP="009462F1">
      <w:pPr>
        <w:rPr>
          <w:rFonts w:ascii="Times New Roman" w:hAnsi="Times New Roman" w:cs="Times New Roman"/>
          <w:color w:val="EE0000"/>
          <w:sz w:val="22"/>
          <w:szCs w:val="22"/>
        </w:rPr>
      </w:pPr>
      <w:r w:rsidRPr="008B44F5">
        <w:rPr>
          <w:rFonts w:ascii="Times New Roman" w:hAnsi="Times New Roman" w:cs="Times New Roman"/>
          <w:color w:val="EE0000"/>
          <w:sz w:val="22"/>
          <w:szCs w:val="22"/>
        </w:rPr>
        <w:t xml:space="preserve">[Insert your organization's specific concern </w:t>
      </w:r>
      <w:proofErr w:type="spellStart"/>
      <w:r w:rsidRPr="008B44F5">
        <w:rPr>
          <w:rFonts w:ascii="Times New Roman" w:hAnsi="Times New Roman" w:cs="Times New Roman"/>
          <w:color w:val="EE0000"/>
          <w:sz w:val="22"/>
          <w:szCs w:val="22"/>
        </w:rPr>
        <w:t>or</w:t>
      </w:r>
      <w:proofErr w:type="spellEnd"/>
      <w:r w:rsidRPr="008B44F5">
        <w:rPr>
          <w:rFonts w:ascii="Times New Roman" w:hAnsi="Times New Roman" w:cs="Times New Roman"/>
          <w:color w:val="EE0000"/>
          <w:sz w:val="22"/>
          <w:szCs w:val="22"/>
        </w:rPr>
        <w:t xml:space="preserve"> example — for example, a public-health, workforce, housing, or human-services program whose ordinary communications or good-faith compliance activities could be swept in by these undefined terms.]</w:t>
      </w:r>
    </w:p>
    <w:p w14:paraId="50916620" w14:textId="77777777" w:rsidR="009462F1" w:rsidRPr="008B44F5" w:rsidRDefault="009462F1" w:rsidP="009462F1">
      <w:pPr>
        <w:rPr>
          <w:rFonts w:ascii="Times New Roman" w:hAnsi="Times New Roman" w:cs="Times New Roman"/>
          <w:sz w:val="22"/>
          <w:szCs w:val="22"/>
        </w:rPr>
      </w:pPr>
      <w:r w:rsidRPr="008B44F5">
        <w:rPr>
          <w:rFonts w:ascii="Times New Roman" w:hAnsi="Times New Roman" w:cs="Times New Roman"/>
          <w:sz w:val="22"/>
          <w:szCs w:val="22"/>
        </w:rPr>
        <w:t>We urge OMB to:</w:t>
      </w:r>
    </w:p>
    <w:p w14:paraId="7507C4C5"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t>Provide clear, objective definitions of all operative terms before these prohibitions take effect, to allow recipients to assess compliance program by program</w:t>
      </w:r>
    </w:p>
    <w:p w14:paraId="4614B007"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t>Narrow §200.218 to clarify that it does not reach good-faith compliance measures recipients take to meet their independent obligations under existing federal statutes</w:t>
      </w:r>
    </w:p>
    <w:p w14:paraId="22B1DD21"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t>Establish an explicit safe harbor for recipients acting in good faith under state law, existing court orders, or consent decrees at the time of expenditure</w:t>
      </w:r>
    </w:p>
    <w:p w14:paraId="1C7CF3A3"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t>Clarify that cost disallowance applies only to expenditures made after a specific, individualized finding of noncompliance, not retroactively to prior spending</w:t>
      </w:r>
    </w:p>
    <w:p w14:paraId="009B73FC"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t>Confirm that pass-through entity liability does not extend to subrecipient activities beyond the direct scope of the federally funded award</w:t>
      </w:r>
    </w:p>
    <w:p w14:paraId="66BD2DC3" w14:textId="77777777" w:rsidR="009462F1" w:rsidRPr="008B44F5" w:rsidRDefault="009462F1" w:rsidP="009462F1">
      <w:pPr>
        <w:keepNext/>
        <w:spacing w:before="240" w:after="80"/>
        <w:rPr>
          <w:rFonts w:ascii="Times New Roman" w:hAnsi="Times New Roman" w:cs="Times New Roman"/>
          <w:sz w:val="22"/>
          <w:szCs w:val="22"/>
        </w:rPr>
      </w:pPr>
      <w:r w:rsidRPr="008B44F5">
        <w:rPr>
          <w:rFonts w:ascii="Times New Roman" w:hAnsi="Times New Roman" w:cs="Times New Roman"/>
          <w:b/>
          <w:bCs/>
          <w:sz w:val="22"/>
          <w:szCs w:val="22"/>
          <w:u w:val="single"/>
        </w:rPr>
        <w:t>Viewpoint-Neutrality and Event-Services Requirements [200.219]</w:t>
      </w:r>
    </w:p>
    <w:p w14:paraId="029179EC" w14:textId="21A2AEE5" w:rsidR="009462F1" w:rsidRPr="008B44F5" w:rsidRDefault="009462F1" w:rsidP="009462F1">
      <w:pPr>
        <w:rPr>
          <w:rFonts w:ascii="Times New Roman" w:hAnsi="Times New Roman" w:cs="Times New Roman"/>
          <w:sz w:val="22"/>
          <w:szCs w:val="22"/>
        </w:rPr>
      </w:pPr>
      <w:r w:rsidRPr="008B44F5">
        <w:rPr>
          <w:rFonts w:ascii="Times New Roman" w:hAnsi="Times New Roman" w:cs="Times New Roman"/>
          <w:sz w:val="22"/>
          <w:szCs w:val="22"/>
        </w:rPr>
        <w:t xml:space="preserve">The proposed rule would impose viewpoint-neutrality requirements on event services on property under a public entity's control regardless of whether federal funds support the </w:t>
      </w:r>
      <w:r w:rsidR="00745F69" w:rsidRPr="008B44F5">
        <w:rPr>
          <w:rFonts w:ascii="Times New Roman" w:hAnsi="Times New Roman" w:cs="Times New Roman"/>
          <w:sz w:val="22"/>
          <w:szCs w:val="22"/>
        </w:rPr>
        <w:t>event and</w:t>
      </w:r>
      <w:r w:rsidRPr="008B44F5">
        <w:rPr>
          <w:rFonts w:ascii="Times New Roman" w:hAnsi="Times New Roman" w:cs="Times New Roman"/>
          <w:sz w:val="22"/>
          <w:szCs w:val="22"/>
        </w:rPr>
        <w:t xml:space="preserve"> would hold recipients responsible for subrecipient compliance. Applying federal grant conditions to all activities on publicly controlled property, irrespective of federal funding, would require recipients to monitor, regulate, and potentially restrict constitutionally protected activity, creating significant legal and administrative exposure.</w:t>
      </w:r>
    </w:p>
    <w:p w14:paraId="21FEF6C7" w14:textId="77777777" w:rsidR="009462F1" w:rsidRPr="008B44F5" w:rsidRDefault="009462F1" w:rsidP="009462F1">
      <w:pPr>
        <w:rPr>
          <w:rFonts w:ascii="Times New Roman" w:hAnsi="Times New Roman" w:cs="Times New Roman"/>
          <w:color w:val="EE0000"/>
          <w:sz w:val="22"/>
          <w:szCs w:val="22"/>
        </w:rPr>
      </w:pPr>
      <w:r w:rsidRPr="008B44F5">
        <w:rPr>
          <w:rFonts w:ascii="Times New Roman" w:hAnsi="Times New Roman" w:cs="Times New Roman"/>
          <w:color w:val="EE0000"/>
          <w:sz w:val="22"/>
          <w:szCs w:val="22"/>
        </w:rPr>
        <w:t xml:space="preserve">[Insert your organization's specific concern </w:t>
      </w:r>
      <w:proofErr w:type="spellStart"/>
      <w:r w:rsidRPr="008B44F5">
        <w:rPr>
          <w:rFonts w:ascii="Times New Roman" w:hAnsi="Times New Roman" w:cs="Times New Roman"/>
          <w:color w:val="EE0000"/>
          <w:sz w:val="22"/>
          <w:szCs w:val="22"/>
        </w:rPr>
        <w:t>or</w:t>
      </w:r>
      <w:proofErr w:type="spellEnd"/>
      <w:r w:rsidRPr="008B44F5">
        <w:rPr>
          <w:rFonts w:ascii="Times New Roman" w:hAnsi="Times New Roman" w:cs="Times New Roman"/>
          <w:color w:val="EE0000"/>
          <w:sz w:val="22"/>
          <w:szCs w:val="22"/>
        </w:rPr>
        <w:t xml:space="preserve"> example — for example, a public facility or venue you own or manage that hosts events unrelated to any federal award.]</w:t>
      </w:r>
    </w:p>
    <w:p w14:paraId="4D4DF1EF" w14:textId="77777777" w:rsidR="009462F1" w:rsidRPr="008B44F5" w:rsidRDefault="009462F1" w:rsidP="009462F1">
      <w:pPr>
        <w:rPr>
          <w:rFonts w:ascii="Times New Roman" w:hAnsi="Times New Roman" w:cs="Times New Roman"/>
          <w:sz w:val="22"/>
          <w:szCs w:val="22"/>
        </w:rPr>
      </w:pPr>
      <w:r w:rsidRPr="008B44F5">
        <w:rPr>
          <w:rFonts w:ascii="Times New Roman" w:hAnsi="Times New Roman" w:cs="Times New Roman"/>
          <w:sz w:val="22"/>
          <w:szCs w:val="22"/>
        </w:rPr>
        <w:t>We urge OMB to:</w:t>
      </w:r>
    </w:p>
    <w:p w14:paraId="42472CCC"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t>Limit event-services requirements to events that are themselves supported with federal funds</w:t>
      </w:r>
    </w:p>
    <w:p w14:paraId="3F8E792F"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t>Remove pass-through entity liability for subrecipient event activities on non-federally funded property</w:t>
      </w:r>
    </w:p>
    <w:p w14:paraId="57CBC934" w14:textId="77777777" w:rsidR="009462F1" w:rsidRPr="008B44F5" w:rsidRDefault="009462F1" w:rsidP="009462F1">
      <w:pPr>
        <w:pStyle w:val="ListParagraph"/>
        <w:numPr>
          <w:ilvl w:val="0"/>
          <w:numId w:val="1"/>
        </w:numPr>
        <w:spacing w:after="80"/>
        <w:contextualSpacing w:val="0"/>
        <w:rPr>
          <w:rFonts w:ascii="Times New Roman" w:hAnsi="Times New Roman" w:cs="Times New Roman"/>
          <w:sz w:val="22"/>
          <w:szCs w:val="22"/>
        </w:rPr>
      </w:pPr>
      <w:r w:rsidRPr="008B44F5">
        <w:rPr>
          <w:rFonts w:ascii="Times New Roman" w:hAnsi="Times New Roman" w:cs="Times New Roman"/>
          <w:sz w:val="22"/>
          <w:szCs w:val="22"/>
        </w:rPr>
        <w:t>Provide clear safe-harbor guidance that recipients can implement without legal risk</w:t>
      </w:r>
    </w:p>
    <w:p w14:paraId="3FF2B485" w14:textId="77777777" w:rsidR="009462F1" w:rsidRPr="008B44F5" w:rsidRDefault="009462F1" w:rsidP="009462F1">
      <w:pPr>
        <w:keepNext/>
        <w:spacing w:before="240" w:after="80"/>
        <w:rPr>
          <w:rFonts w:ascii="Times New Roman" w:hAnsi="Times New Roman" w:cs="Times New Roman"/>
          <w:sz w:val="22"/>
          <w:szCs w:val="22"/>
        </w:rPr>
      </w:pPr>
      <w:r w:rsidRPr="008B44F5">
        <w:rPr>
          <w:rFonts w:ascii="Times New Roman" w:hAnsi="Times New Roman" w:cs="Times New Roman"/>
          <w:b/>
          <w:bCs/>
          <w:sz w:val="22"/>
          <w:szCs w:val="22"/>
          <w:u w:val="single"/>
        </w:rPr>
        <w:t>Reclassification from Guidance to Binding Regulation [1.105], [200.110]</w:t>
      </w:r>
    </w:p>
    <w:p w14:paraId="5D0429FB" w14:textId="77777777" w:rsidR="009462F1" w:rsidRPr="008B44F5" w:rsidRDefault="009462F1" w:rsidP="009462F1">
      <w:pPr>
        <w:rPr>
          <w:rFonts w:ascii="Times New Roman" w:hAnsi="Times New Roman" w:cs="Times New Roman"/>
          <w:sz w:val="22"/>
          <w:szCs w:val="22"/>
        </w:rPr>
      </w:pPr>
      <w:r w:rsidRPr="008B44F5">
        <w:rPr>
          <w:rFonts w:ascii="Times New Roman" w:hAnsi="Times New Roman" w:cs="Times New Roman"/>
          <w:sz w:val="22"/>
          <w:szCs w:val="22"/>
        </w:rPr>
        <w:t>The proposed rule would reclassify 2 CFR Subtitle A from OMB guidance to binding federal regulation, so that future amendments could take effect government-wide without separate notice-and-comment rulemaking by individual agencies.</w:t>
      </w:r>
    </w:p>
    <w:p w14:paraId="03CB6FF5" w14:textId="77777777" w:rsidR="009462F1" w:rsidRPr="008B44F5" w:rsidRDefault="009462F1" w:rsidP="009462F1">
      <w:pPr>
        <w:rPr>
          <w:rFonts w:ascii="Times New Roman" w:hAnsi="Times New Roman" w:cs="Times New Roman"/>
          <w:color w:val="EE0000"/>
          <w:sz w:val="22"/>
          <w:szCs w:val="22"/>
        </w:rPr>
      </w:pPr>
      <w:r w:rsidRPr="008B44F5">
        <w:rPr>
          <w:rFonts w:ascii="Times New Roman" w:hAnsi="Times New Roman" w:cs="Times New Roman"/>
          <w:color w:val="EE0000"/>
          <w:sz w:val="22"/>
          <w:szCs w:val="22"/>
        </w:rPr>
        <w:lastRenderedPageBreak/>
        <w:t xml:space="preserve">[Insert your organization's specific concern </w:t>
      </w:r>
      <w:proofErr w:type="spellStart"/>
      <w:r w:rsidRPr="008B44F5">
        <w:rPr>
          <w:rFonts w:ascii="Times New Roman" w:hAnsi="Times New Roman" w:cs="Times New Roman"/>
          <w:color w:val="EE0000"/>
          <w:sz w:val="22"/>
          <w:szCs w:val="22"/>
        </w:rPr>
        <w:t>or</w:t>
      </w:r>
      <w:proofErr w:type="spellEnd"/>
      <w:r w:rsidRPr="008B44F5">
        <w:rPr>
          <w:rFonts w:ascii="Times New Roman" w:hAnsi="Times New Roman" w:cs="Times New Roman"/>
          <w:color w:val="EE0000"/>
          <w:sz w:val="22"/>
          <w:szCs w:val="22"/>
        </w:rPr>
        <w:t xml:space="preserve"> example — for example, a past instance where the opportunity to comment on a regulatory change allowed you to prepare for or adapt to new requirements.]</w:t>
      </w:r>
    </w:p>
    <w:p w14:paraId="2E92C174" w14:textId="77777777" w:rsidR="009462F1" w:rsidRPr="008B44F5" w:rsidRDefault="009462F1" w:rsidP="009462F1">
      <w:pPr>
        <w:rPr>
          <w:rFonts w:ascii="Times New Roman" w:hAnsi="Times New Roman" w:cs="Times New Roman"/>
          <w:sz w:val="22"/>
          <w:szCs w:val="22"/>
        </w:rPr>
      </w:pPr>
      <w:r w:rsidRPr="008B44F5">
        <w:rPr>
          <w:rFonts w:ascii="Times New Roman" w:hAnsi="Times New Roman" w:cs="Times New Roman"/>
          <w:sz w:val="22"/>
          <w:szCs w:val="22"/>
        </w:rPr>
        <w:t>We urge OMB to preserve notice-and-comment requirements for any future substantive amendments to the Uniform Guidance, consistent with the Administrative Procedure Act.</w:t>
      </w:r>
    </w:p>
    <w:p w14:paraId="4F144280" w14:textId="77777777" w:rsidR="009462F1" w:rsidRPr="008B44F5" w:rsidRDefault="009462F1" w:rsidP="009462F1">
      <w:pPr>
        <w:keepNext/>
        <w:spacing w:before="240" w:after="80"/>
        <w:rPr>
          <w:rFonts w:ascii="Times New Roman" w:hAnsi="Times New Roman" w:cs="Times New Roman"/>
          <w:sz w:val="22"/>
          <w:szCs w:val="22"/>
        </w:rPr>
      </w:pPr>
      <w:r w:rsidRPr="008B44F5">
        <w:rPr>
          <w:rFonts w:ascii="Times New Roman" w:hAnsi="Times New Roman" w:cs="Times New Roman"/>
          <w:b/>
          <w:bCs/>
          <w:sz w:val="22"/>
          <w:szCs w:val="22"/>
          <w:u w:val="single"/>
        </w:rPr>
        <w:t>Conclusion</w:t>
      </w:r>
    </w:p>
    <w:p w14:paraId="57480DA7" w14:textId="77777777" w:rsidR="009462F1" w:rsidRPr="008B44F5" w:rsidRDefault="009462F1" w:rsidP="009462F1">
      <w:pPr>
        <w:rPr>
          <w:rFonts w:ascii="Times New Roman" w:hAnsi="Times New Roman" w:cs="Times New Roman"/>
          <w:sz w:val="22"/>
          <w:szCs w:val="22"/>
        </w:rPr>
      </w:pPr>
      <w:r w:rsidRPr="008B44F5">
        <w:rPr>
          <w:rFonts w:ascii="Times New Roman" w:hAnsi="Times New Roman" w:cs="Times New Roman"/>
          <w:sz w:val="22"/>
          <w:szCs w:val="22"/>
        </w:rPr>
        <w:t>We ask that the final rule be calibrated to the full range of federal grant recipients, and that it not impose uniform new burdens on recipients with strong compliance records. OMB has allowed only 45 days of public comment on a rule that rewrites the government-wide framework for federal financial assistance. We urge OMB to extend the comment period, publish a fiscal impact analysis on states and localities before finalizing the rule, provide adequate transition time and technical assistance, and delay implementation until at least October 1, 2027.</w:t>
      </w:r>
    </w:p>
    <w:p w14:paraId="0240A1C1" w14:textId="45E768DA" w:rsidR="009462F1" w:rsidRPr="008B44F5" w:rsidRDefault="009462F1" w:rsidP="009462F1">
      <w:pPr>
        <w:rPr>
          <w:rFonts w:ascii="Times New Roman" w:hAnsi="Times New Roman" w:cs="Times New Roman"/>
          <w:sz w:val="22"/>
          <w:szCs w:val="22"/>
        </w:rPr>
      </w:pPr>
      <w:r w:rsidRPr="008B44F5">
        <w:rPr>
          <w:rFonts w:ascii="Times New Roman" w:hAnsi="Times New Roman" w:cs="Times New Roman"/>
          <w:sz w:val="22"/>
          <w:szCs w:val="22"/>
        </w:rPr>
        <w:t xml:space="preserve">We would appreciate the opportunity to provide additional information or to discuss these comments further. Please contact </w:t>
      </w:r>
      <w:r w:rsidR="007E59FB" w:rsidRPr="007E59FB">
        <w:rPr>
          <w:rFonts w:ascii="Times New Roman" w:hAnsi="Times New Roman" w:cs="Times New Roman"/>
          <w:sz w:val="22"/>
          <w:szCs w:val="22"/>
        </w:rPr>
        <w:t>my office</w:t>
      </w:r>
      <w:r w:rsidRPr="007E59FB">
        <w:rPr>
          <w:rFonts w:ascii="Times New Roman" w:hAnsi="Times New Roman" w:cs="Times New Roman"/>
          <w:sz w:val="22"/>
          <w:szCs w:val="22"/>
        </w:rPr>
        <w:t xml:space="preserve"> </w:t>
      </w:r>
      <w:r w:rsidRPr="008B44F5">
        <w:rPr>
          <w:rFonts w:ascii="Times New Roman" w:hAnsi="Times New Roman" w:cs="Times New Roman"/>
          <w:sz w:val="22"/>
          <w:szCs w:val="22"/>
        </w:rPr>
        <w:t>with any questions.</w:t>
      </w:r>
    </w:p>
    <w:p w14:paraId="048A13AD" w14:textId="77777777" w:rsidR="009462F1" w:rsidRPr="008B44F5" w:rsidRDefault="009462F1" w:rsidP="009462F1">
      <w:pPr>
        <w:spacing w:after="0"/>
        <w:rPr>
          <w:rFonts w:ascii="Times New Roman" w:hAnsi="Times New Roman" w:cs="Times New Roman"/>
          <w:sz w:val="22"/>
          <w:szCs w:val="22"/>
        </w:rPr>
      </w:pPr>
      <w:r w:rsidRPr="008B44F5">
        <w:rPr>
          <w:rFonts w:ascii="Times New Roman" w:hAnsi="Times New Roman" w:cs="Times New Roman"/>
          <w:sz w:val="22"/>
          <w:szCs w:val="22"/>
        </w:rPr>
        <w:t>Respectfully,</w:t>
      </w:r>
    </w:p>
    <w:p w14:paraId="40218DEB" w14:textId="77777777" w:rsidR="009462F1" w:rsidRPr="008B44F5" w:rsidRDefault="009462F1" w:rsidP="009462F1">
      <w:pPr>
        <w:spacing w:after="0"/>
        <w:rPr>
          <w:rFonts w:ascii="Times New Roman" w:hAnsi="Times New Roman" w:cs="Times New Roman"/>
          <w:sz w:val="22"/>
          <w:szCs w:val="22"/>
        </w:rPr>
      </w:pPr>
    </w:p>
    <w:p w14:paraId="624E586F" w14:textId="77777777" w:rsidR="009462F1" w:rsidRPr="008B44F5" w:rsidRDefault="009462F1" w:rsidP="009462F1">
      <w:pPr>
        <w:spacing w:after="0"/>
        <w:rPr>
          <w:rFonts w:ascii="Times New Roman" w:hAnsi="Times New Roman" w:cs="Times New Roman"/>
          <w:sz w:val="22"/>
          <w:szCs w:val="22"/>
        </w:rPr>
      </w:pPr>
    </w:p>
    <w:p w14:paraId="72A396B4" w14:textId="77777777" w:rsidR="009462F1" w:rsidRPr="008B44F5" w:rsidRDefault="009462F1" w:rsidP="009462F1">
      <w:pPr>
        <w:spacing w:after="0"/>
        <w:rPr>
          <w:rFonts w:ascii="Times New Roman" w:hAnsi="Times New Roman" w:cs="Times New Roman"/>
          <w:color w:val="EE0000"/>
          <w:sz w:val="22"/>
          <w:szCs w:val="22"/>
        </w:rPr>
      </w:pPr>
      <w:r w:rsidRPr="008B44F5">
        <w:rPr>
          <w:rFonts w:ascii="Times New Roman" w:hAnsi="Times New Roman" w:cs="Times New Roman"/>
          <w:color w:val="EE0000"/>
          <w:sz w:val="22"/>
          <w:szCs w:val="22"/>
        </w:rPr>
        <w:t>[Name]</w:t>
      </w:r>
    </w:p>
    <w:p w14:paraId="08D96550" w14:textId="77777777" w:rsidR="009462F1" w:rsidRPr="008B44F5" w:rsidRDefault="009462F1" w:rsidP="009462F1">
      <w:pPr>
        <w:spacing w:after="0"/>
        <w:rPr>
          <w:rFonts w:ascii="Times New Roman" w:hAnsi="Times New Roman" w:cs="Times New Roman"/>
          <w:color w:val="EE0000"/>
          <w:sz w:val="22"/>
          <w:szCs w:val="22"/>
        </w:rPr>
      </w:pPr>
      <w:r w:rsidRPr="008B44F5">
        <w:rPr>
          <w:rFonts w:ascii="Times New Roman" w:hAnsi="Times New Roman" w:cs="Times New Roman"/>
          <w:color w:val="EE0000"/>
          <w:sz w:val="22"/>
          <w:szCs w:val="22"/>
        </w:rPr>
        <w:t>[Title]</w:t>
      </w:r>
    </w:p>
    <w:p w14:paraId="17107386" w14:textId="77777777" w:rsidR="009462F1" w:rsidRPr="008B44F5" w:rsidRDefault="009462F1" w:rsidP="009462F1">
      <w:pPr>
        <w:spacing w:after="0"/>
        <w:rPr>
          <w:rFonts w:ascii="Times New Roman" w:hAnsi="Times New Roman" w:cs="Times New Roman"/>
          <w:color w:val="EE0000"/>
          <w:sz w:val="22"/>
          <w:szCs w:val="22"/>
        </w:rPr>
      </w:pPr>
      <w:r w:rsidRPr="008B44F5">
        <w:rPr>
          <w:rFonts w:ascii="Times New Roman" w:hAnsi="Times New Roman" w:cs="Times New Roman"/>
          <w:color w:val="EE0000"/>
          <w:sz w:val="22"/>
          <w:szCs w:val="22"/>
        </w:rPr>
        <w:t>[Organization Name]</w:t>
      </w:r>
    </w:p>
    <w:p w14:paraId="002E8990" w14:textId="77777777" w:rsidR="00D60D78" w:rsidRPr="008B44F5" w:rsidRDefault="00D60D78">
      <w:pPr>
        <w:rPr>
          <w:rFonts w:ascii="Times New Roman" w:hAnsi="Times New Roman" w:cs="Times New Roman"/>
          <w:sz w:val="22"/>
          <w:szCs w:val="22"/>
        </w:rPr>
      </w:pPr>
    </w:p>
    <w:sectPr w:rsidR="00D60D78" w:rsidRPr="008B44F5" w:rsidSect="009462F1">
      <w:pgSz w:w="12240" w:h="15840"/>
      <w:pgMar w:top="1440" w:right="1890" w:bottom="1440" w:left="1440" w:header="70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66DD0"/>
    <w:multiLevelType w:val="hybridMultilevel"/>
    <w:tmpl w:val="195EAC9A"/>
    <w:lvl w:ilvl="0" w:tplc="303A7D7C">
      <w:start w:val="1"/>
      <w:numFmt w:val="bullet"/>
      <w:lvlText w:val="•"/>
      <w:lvlJc w:val="left"/>
      <w:pPr>
        <w:ind w:left="720" w:hanging="360"/>
      </w:pPr>
    </w:lvl>
    <w:lvl w:ilvl="1" w:tplc="772A0EC4">
      <w:numFmt w:val="decimal"/>
      <w:lvlText w:val=""/>
      <w:lvlJc w:val="left"/>
    </w:lvl>
    <w:lvl w:ilvl="2" w:tplc="FB9046CE">
      <w:numFmt w:val="decimal"/>
      <w:lvlText w:val=""/>
      <w:lvlJc w:val="left"/>
    </w:lvl>
    <w:lvl w:ilvl="3" w:tplc="9D8ED798">
      <w:numFmt w:val="decimal"/>
      <w:lvlText w:val=""/>
      <w:lvlJc w:val="left"/>
    </w:lvl>
    <w:lvl w:ilvl="4" w:tplc="9146C8D0">
      <w:numFmt w:val="decimal"/>
      <w:lvlText w:val=""/>
      <w:lvlJc w:val="left"/>
    </w:lvl>
    <w:lvl w:ilvl="5" w:tplc="75A8385E">
      <w:numFmt w:val="decimal"/>
      <w:lvlText w:val=""/>
      <w:lvlJc w:val="left"/>
    </w:lvl>
    <w:lvl w:ilvl="6" w:tplc="C3AC44B2">
      <w:numFmt w:val="decimal"/>
      <w:lvlText w:val=""/>
      <w:lvlJc w:val="left"/>
    </w:lvl>
    <w:lvl w:ilvl="7" w:tplc="E2BA7814">
      <w:numFmt w:val="decimal"/>
      <w:lvlText w:val=""/>
      <w:lvlJc w:val="left"/>
    </w:lvl>
    <w:lvl w:ilvl="8" w:tplc="07687FC4">
      <w:numFmt w:val="decimal"/>
      <w:lvlText w:val=""/>
      <w:lvlJc w:val="left"/>
    </w:lvl>
  </w:abstractNum>
  <w:num w:numId="1" w16cid:durableId="279912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F1"/>
    <w:rsid w:val="00025AA6"/>
    <w:rsid w:val="006E70B7"/>
    <w:rsid w:val="00745F69"/>
    <w:rsid w:val="007E59FB"/>
    <w:rsid w:val="008B44F5"/>
    <w:rsid w:val="009462F1"/>
    <w:rsid w:val="00B25A3C"/>
    <w:rsid w:val="00D60D78"/>
    <w:rsid w:val="00EA7412"/>
    <w:rsid w:val="00F2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EB782"/>
  <w15:chartTrackingRefBased/>
  <w15:docId w15:val="{7EA7607F-885E-4469-B808-031F95BA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2F1"/>
    <w:rPr>
      <w:rFonts w:ascii="Aptos" w:eastAsia="Aptos" w:hAnsi="Aptos" w:cs="Aptos"/>
      <w:kern w:val="0"/>
      <w14:ligatures w14:val="none"/>
    </w:rPr>
  </w:style>
  <w:style w:type="paragraph" w:styleId="Heading1">
    <w:name w:val="heading 1"/>
    <w:basedOn w:val="Normal"/>
    <w:next w:val="Normal"/>
    <w:link w:val="Heading1Char"/>
    <w:uiPriority w:val="9"/>
    <w:qFormat/>
    <w:rsid w:val="00946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2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2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2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2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2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2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2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2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2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2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2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2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2F1"/>
    <w:rPr>
      <w:rFonts w:eastAsiaTheme="majorEastAsia" w:cstheme="majorBidi"/>
      <w:color w:val="272727" w:themeColor="text1" w:themeTint="D8"/>
    </w:rPr>
  </w:style>
  <w:style w:type="paragraph" w:styleId="Title">
    <w:name w:val="Title"/>
    <w:basedOn w:val="Normal"/>
    <w:next w:val="Normal"/>
    <w:link w:val="TitleChar"/>
    <w:uiPriority w:val="10"/>
    <w:qFormat/>
    <w:rsid w:val="00946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2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2F1"/>
    <w:pPr>
      <w:spacing w:before="160"/>
      <w:jc w:val="center"/>
    </w:pPr>
    <w:rPr>
      <w:i/>
      <w:iCs/>
      <w:color w:val="404040" w:themeColor="text1" w:themeTint="BF"/>
    </w:rPr>
  </w:style>
  <w:style w:type="character" w:customStyle="1" w:styleId="QuoteChar">
    <w:name w:val="Quote Char"/>
    <w:basedOn w:val="DefaultParagraphFont"/>
    <w:link w:val="Quote"/>
    <w:uiPriority w:val="29"/>
    <w:rsid w:val="009462F1"/>
    <w:rPr>
      <w:i/>
      <w:iCs/>
      <w:color w:val="404040" w:themeColor="text1" w:themeTint="BF"/>
    </w:rPr>
  </w:style>
  <w:style w:type="paragraph" w:styleId="ListParagraph">
    <w:name w:val="List Paragraph"/>
    <w:basedOn w:val="Normal"/>
    <w:qFormat/>
    <w:rsid w:val="009462F1"/>
    <w:pPr>
      <w:ind w:left="720"/>
      <w:contextualSpacing/>
    </w:pPr>
  </w:style>
  <w:style w:type="character" w:styleId="IntenseEmphasis">
    <w:name w:val="Intense Emphasis"/>
    <w:basedOn w:val="DefaultParagraphFont"/>
    <w:uiPriority w:val="21"/>
    <w:qFormat/>
    <w:rsid w:val="009462F1"/>
    <w:rPr>
      <w:i/>
      <w:iCs/>
      <w:color w:val="0F4761" w:themeColor="accent1" w:themeShade="BF"/>
    </w:rPr>
  </w:style>
  <w:style w:type="paragraph" w:styleId="IntenseQuote">
    <w:name w:val="Intense Quote"/>
    <w:basedOn w:val="Normal"/>
    <w:next w:val="Normal"/>
    <w:link w:val="IntenseQuoteChar"/>
    <w:uiPriority w:val="30"/>
    <w:qFormat/>
    <w:rsid w:val="00946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2F1"/>
    <w:rPr>
      <w:i/>
      <w:iCs/>
      <w:color w:val="0F4761" w:themeColor="accent1" w:themeShade="BF"/>
    </w:rPr>
  </w:style>
  <w:style w:type="character" w:styleId="IntenseReference">
    <w:name w:val="Intense Reference"/>
    <w:basedOn w:val="DefaultParagraphFont"/>
    <w:uiPriority w:val="32"/>
    <w:qFormat/>
    <w:rsid w:val="009462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1728</Words>
  <Characters>9855</Characters>
  <Application>Microsoft Office Word</Application>
  <DocSecurity>0</DocSecurity>
  <Lines>82</Lines>
  <Paragraphs>23</Paragraphs>
  <ScaleCrop>false</ScaleCrop>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Andrew</dc:creator>
  <cp:keywords/>
  <dc:description/>
  <cp:lastModifiedBy>Barry, Andrew</cp:lastModifiedBy>
  <cp:revision>5</cp:revision>
  <dcterms:created xsi:type="dcterms:W3CDTF">2026-07-09T20:40:00Z</dcterms:created>
  <dcterms:modified xsi:type="dcterms:W3CDTF">2026-07-10T17:39:00Z</dcterms:modified>
</cp:coreProperties>
</file>